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LV-C[C6]-I[6-1-2-4-i-] Creation of infrastructure for the performance of control services in Kundziņsala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LV-C[C6]-I[6-1-2-4-i-]-M[182] Building permit received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Q3 2024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objective of this measure is to increase the efficiency of customs controls, reduce the administrative burden on the control service users, and to eliminate wasteful traffic of heavy-duty transport between the port and the control facilities. The investment consists in creating an integrated control services infrastructure in Kundzinsala –a port and a major cargo transport hub in Riga. The control post shall require construction of control services facilities necessary for effective and smooth controls as well as installing x-ray scanning equipment for cargo control. The investment shall be implemented by 31 August 2026.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C6.6-1-2-4-i- Creation of infrastructure for the performance of control services in Kundziņsala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Milestone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Building permit received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  <w:r w:rsidRPr="008777FB">
              <w:rPr>
                <w:lang w:val="it-IT"/>
              </w:rPr>
              <w:t>Notification of the permit approval decision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SJSC “State Real Estate”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A building permit has been received from the Construction Board.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Summary document duly justifying how the milestone (including all the constitutive elements) was satisfactorily fulfilled, with appropriate links to the underlying evidence. This document shall include as an annex a copy of the approval of the construction project and the permit approval decision by the Construction Board and a copy of the approved building permit.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